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4D" w:rsidRDefault="00453B9A" w:rsidP="00EA05FB">
      <w:pPr>
        <w:pStyle w:val="Listenabsatz"/>
        <w:numPr>
          <w:ilvl w:val="0"/>
          <w:numId w:val="1"/>
        </w:numPr>
        <w:rPr>
          <w:b/>
          <w:bCs/>
          <w:sz w:val="24"/>
          <w:szCs w:val="24"/>
          <w:lang w:val="de-AT"/>
        </w:rPr>
      </w:pPr>
      <w:r w:rsidRPr="00ED634D">
        <w:rPr>
          <w:b/>
          <w:bCs/>
          <w:sz w:val="24"/>
          <w:szCs w:val="24"/>
          <w:lang w:val="de-AT"/>
        </w:rPr>
        <w:t>Welcher gesellschaftliche Wandel fand in Österreich in den letzten Jahrzehnten statt? Buch S 46 Aufzählung der Ereignisse in Stichworten.</w:t>
      </w:r>
      <w:r w:rsidR="006366DD">
        <w:rPr>
          <w:b/>
          <w:bCs/>
          <w:sz w:val="24"/>
          <w:szCs w:val="24"/>
          <w:lang w:val="de-AT"/>
        </w:rPr>
        <w:br/>
      </w:r>
      <w:r w:rsidR="006366DD">
        <w:rPr>
          <w:b/>
          <w:bCs/>
          <w:sz w:val="24"/>
          <w:szCs w:val="24"/>
          <w:lang w:val="de-AT"/>
        </w:rPr>
        <w:br/>
      </w:r>
    </w:p>
    <w:p w:rsidR="00EA05FB" w:rsidRPr="00ED634D" w:rsidRDefault="00ED634D" w:rsidP="00EA05FB">
      <w:pPr>
        <w:pStyle w:val="Listenabsatz"/>
        <w:numPr>
          <w:ilvl w:val="0"/>
          <w:numId w:val="1"/>
        </w:numPr>
        <w:rPr>
          <w:b/>
          <w:bCs/>
          <w:sz w:val="24"/>
          <w:szCs w:val="24"/>
          <w:lang w:val="de-AT"/>
        </w:rPr>
      </w:pPr>
      <w:r w:rsidRPr="00ED634D">
        <w:rPr>
          <w:b/>
          <w:bCs/>
          <w:sz w:val="24"/>
          <w:szCs w:val="24"/>
          <w:lang w:val="de-AT"/>
        </w:rPr>
        <w:t>Arbeitsaufgabe im Buch S 47 3.4.B, und 3.4.C</w:t>
      </w:r>
    </w:p>
    <w:p w:rsidR="00EA05FB" w:rsidRPr="00ED634D" w:rsidRDefault="00EA05FB" w:rsidP="00EA05FB">
      <w:pPr>
        <w:pStyle w:val="Listenabsatz"/>
        <w:numPr>
          <w:ilvl w:val="0"/>
          <w:numId w:val="1"/>
        </w:numPr>
        <w:rPr>
          <w:b/>
          <w:bCs/>
          <w:sz w:val="24"/>
          <w:szCs w:val="24"/>
          <w:lang w:val="de-AT"/>
        </w:rPr>
      </w:pPr>
      <w:r w:rsidRPr="00ED634D">
        <w:rPr>
          <w:b/>
          <w:bCs/>
          <w:sz w:val="24"/>
          <w:szCs w:val="24"/>
          <w:lang w:val="de-AT"/>
        </w:rPr>
        <w:t>Fragen zu 3.5 Ist Österreich ein Einwanderungsland?</w:t>
      </w:r>
    </w:p>
    <w:p w:rsidR="00E955AA" w:rsidRPr="00ED634D" w:rsidRDefault="00EA05FB" w:rsidP="00EA05FB">
      <w:pPr>
        <w:pStyle w:val="Listenabsatz"/>
        <w:numPr>
          <w:ilvl w:val="0"/>
          <w:numId w:val="1"/>
        </w:numPr>
        <w:rPr>
          <w:b/>
          <w:bCs/>
          <w:sz w:val="24"/>
          <w:szCs w:val="24"/>
          <w:lang w:val="de-AT"/>
        </w:rPr>
      </w:pPr>
      <w:r w:rsidRPr="00ED634D">
        <w:rPr>
          <w:b/>
          <w:bCs/>
          <w:sz w:val="24"/>
          <w:szCs w:val="24"/>
          <w:lang w:val="de-AT"/>
        </w:rPr>
        <w:t>Geschichtlicher Rückblick: Was war Österreich im Jahr 1918?</w:t>
      </w:r>
      <w:r w:rsidRPr="00ED634D">
        <w:rPr>
          <w:b/>
          <w:bCs/>
          <w:sz w:val="24"/>
          <w:szCs w:val="24"/>
          <w:lang w:val="de-AT"/>
        </w:rPr>
        <w:br/>
        <w:t>In welcher Zeit versuchte Österreich gezielt Arbeitskräfte aus dem Ausland anzuwerben? Welchen Namen hatten die Arbeiter?</w:t>
      </w:r>
    </w:p>
    <w:p w:rsidR="00E955AA" w:rsidRPr="00EA05FB" w:rsidRDefault="00EA05FB" w:rsidP="00EA05FB">
      <w:pPr>
        <w:ind w:left="360"/>
        <w:rPr>
          <w:lang w:val="de-AT"/>
        </w:rPr>
      </w:pPr>
      <w:r w:rsidRPr="00ED634D">
        <w:rPr>
          <w:noProof/>
          <w:highlight w:val="yellow"/>
        </w:rPr>
        <w:drawing>
          <wp:anchor distT="0" distB="0" distL="114300" distR="114300" simplePos="0" relativeHeight="251660288" behindDoc="0" locked="0" layoutInCell="1" allowOverlap="1" wp14:anchorId="2A8B3CE6">
            <wp:simplePos x="0" y="0"/>
            <wp:positionH relativeFrom="margin">
              <wp:align>left</wp:align>
            </wp:positionH>
            <wp:positionV relativeFrom="paragraph">
              <wp:posOffset>212725</wp:posOffset>
            </wp:positionV>
            <wp:extent cx="3931920" cy="2952115"/>
            <wp:effectExtent l="0" t="0" r="0" b="635"/>
            <wp:wrapThrough wrapText="bothSides">
              <wp:wrapPolygon edited="0">
                <wp:start x="0" y="0"/>
                <wp:lineTo x="0" y="21465"/>
                <wp:lineTo x="21453" y="21465"/>
                <wp:lineTo x="21453" y="0"/>
                <wp:lineTo x="0" y="0"/>
              </wp:wrapPolygon>
            </wp:wrapThrough>
            <wp:docPr id="4" name="Grafik 3">
              <a:extLst xmlns:a="http://schemas.openxmlformats.org/drawingml/2006/main">
                <a:ext uri="{FF2B5EF4-FFF2-40B4-BE49-F238E27FC236}">
                  <a16:creationId xmlns:a16="http://schemas.microsoft.com/office/drawing/2014/main" id="{3FCEEA96-151B-2F46-BAAE-3935E760CB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3FCEEA96-151B-2F46-BAAE-3935E760CB4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0" cy="2952115"/>
                    </a:xfrm>
                    <a:prstGeom prst="rect">
                      <a:avLst/>
                    </a:prstGeom>
                  </pic:spPr>
                </pic:pic>
              </a:graphicData>
            </a:graphic>
            <wp14:sizeRelH relativeFrom="page">
              <wp14:pctWidth>0</wp14:pctWidth>
            </wp14:sizeRelH>
            <wp14:sizeRelV relativeFrom="page">
              <wp14:pctHeight>0</wp14:pctHeight>
            </wp14:sizeRelV>
          </wp:anchor>
        </w:drawing>
      </w:r>
      <w:r w:rsidR="00E955AA" w:rsidRPr="00ED634D">
        <w:rPr>
          <w:noProof/>
          <w:highlight w:val="yellow"/>
        </w:rPr>
        <mc:AlternateContent>
          <mc:Choice Requires="wps">
            <w:drawing>
              <wp:anchor distT="45720" distB="45720" distL="114300" distR="114300" simplePos="0" relativeHeight="251659264" behindDoc="0" locked="0" layoutInCell="1" allowOverlap="1">
                <wp:simplePos x="0" y="0"/>
                <wp:positionH relativeFrom="column">
                  <wp:posOffset>4268470</wp:posOffset>
                </wp:positionH>
                <wp:positionV relativeFrom="paragraph">
                  <wp:posOffset>360680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955AA" w:rsidRPr="00E955AA" w:rsidRDefault="00E955AA" w:rsidP="00E955AA">
                            <w:r w:rsidRPr="00E955AA">
                              <w:rPr>
                                <w:lang w:val="de-AT"/>
                              </w:rPr>
                              <w:t xml:space="preserve">Beide Kategorien - Migrationshintergrund und Staatsangehörigkeit - werden immer wieder verwendet, um den Anteil </w:t>
                            </w:r>
                            <w:proofErr w:type="gramStart"/>
                            <w:r w:rsidRPr="00E955AA">
                              <w:rPr>
                                <w:lang w:val="de-AT"/>
                              </w:rPr>
                              <w:t>von MigrantInnen</w:t>
                            </w:r>
                            <w:proofErr w:type="gramEnd"/>
                            <w:r w:rsidRPr="00E955AA">
                              <w:rPr>
                                <w:lang w:val="de-AT"/>
                              </w:rPr>
                              <w:t xml:space="preserve"> in der Bevölkerung zu benennen.  Es ist gar nicht so einfach, Migration in Zahlen zu fassen.</w:t>
                            </w:r>
                          </w:p>
                          <w:p w:rsidR="00E955AA" w:rsidRDefault="00E955A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6.1pt;margin-top:28.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">
                <v:textbox style="mso-fit-shape-to-text:t">
                  <w:txbxContent>
                    <w:p w:rsidR="00E955AA" w:rsidRPr="00E955AA" w:rsidRDefault="00E955AA" w:rsidP="00E955AA">
                      <w:r w:rsidRPr="00E955AA">
                        <w:rPr>
                          <w:lang w:val="de-AT"/>
                        </w:rPr>
                        <w:t xml:space="preserve">Beide Kategorien - Migrationshintergrund und Staatsangehörigkeit - werden immer wieder verwendet, um den Anteil </w:t>
                      </w:r>
                      <w:proofErr w:type="gramStart"/>
                      <w:r w:rsidRPr="00E955AA">
                        <w:rPr>
                          <w:lang w:val="de-AT"/>
                        </w:rPr>
                        <w:t>von MigrantInnen</w:t>
                      </w:r>
                      <w:proofErr w:type="gramEnd"/>
                      <w:r w:rsidRPr="00E955AA">
                        <w:rPr>
                          <w:lang w:val="de-AT"/>
                        </w:rPr>
                        <w:t xml:space="preserve"> in der Bevölkerung zu benennen.  Es ist gar nicht so einfach, Migration in Zahlen zu fassen.</w:t>
                      </w:r>
                    </w:p>
                    <w:p w:rsidR="00E955AA" w:rsidRDefault="00E955AA"/>
                  </w:txbxContent>
                </v:textbox>
                <w10:wrap type="square"/>
              </v:shape>
            </w:pict>
          </mc:Fallback>
        </mc:AlternateContent>
      </w:r>
      <w:r w:rsidRPr="00ED634D">
        <w:rPr>
          <w:highlight w:val="yellow"/>
          <w:lang w:val="de-AT"/>
        </w:rPr>
        <w:t>G1</w:t>
      </w:r>
      <w:r w:rsidR="00E51373">
        <w:rPr>
          <w:lang w:val="de-AT"/>
        </w:rPr>
        <w:t>“Aktuell“</w:t>
      </w:r>
      <w:r>
        <w:rPr>
          <w:lang w:val="de-AT"/>
        </w:rPr>
        <w:br/>
      </w:r>
      <w:r>
        <w:rPr>
          <w:lang w:val="de-AT"/>
        </w:rPr>
        <w:br/>
      </w:r>
      <w:r>
        <w:rPr>
          <w:lang w:val="de-AT"/>
        </w:rPr>
        <w:br/>
      </w:r>
      <w:r>
        <w:rPr>
          <w:lang w:val="de-AT"/>
        </w:rPr>
        <w:br/>
      </w:r>
      <w:r>
        <w:rPr>
          <w:lang w:val="de-AT"/>
        </w:rPr>
        <w:br/>
      </w:r>
    </w:p>
    <w:p w:rsidR="00E955AA" w:rsidRPr="006366DD" w:rsidRDefault="00E955AA" w:rsidP="00EA05FB">
      <w:pPr>
        <w:pStyle w:val="Listenabsatz"/>
        <w:numPr>
          <w:ilvl w:val="0"/>
          <w:numId w:val="1"/>
        </w:numPr>
        <w:rPr>
          <w:b/>
          <w:bCs/>
          <w:lang w:val="de-AT"/>
        </w:rPr>
      </w:pPr>
      <w:r w:rsidRPr="006366DD">
        <w:rPr>
          <w:b/>
          <w:bCs/>
          <w:lang w:val="de-AT"/>
        </w:rPr>
        <w:t>Wie viel Prozent Unterschied erkennst du von im Buch S 49 Gesamtbevölkerung Österreich und Mitbürger ausländischer Staatsangehörigkeit 2014 und der oben angeführte Statistik</w:t>
      </w:r>
      <w:r w:rsidR="00ED634D" w:rsidRPr="006366DD">
        <w:rPr>
          <w:b/>
          <w:bCs/>
          <w:lang w:val="de-AT"/>
        </w:rPr>
        <w:t xml:space="preserve"> </w:t>
      </w:r>
      <w:r w:rsidR="00ED634D" w:rsidRPr="006366DD">
        <w:rPr>
          <w:b/>
          <w:bCs/>
          <w:highlight w:val="yellow"/>
          <w:lang w:val="de-AT"/>
        </w:rPr>
        <w:t>G1</w:t>
      </w:r>
      <w:r w:rsidRPr="006366DD">
        <w:rPr>
          <w:b/>
          <w:bCs/>
          <w:lang w:val="de-AT"/>
        </w:rPr>
        <w:t xml:space="preserve"> 2019.</w:t>
      </w:r>
      <w:r w:rsidRPr="006366DD">
        <w:rPr>
          <w:b/>
          <w:bCs/>
          <w:lang w:val="de-AT"/>
        </w:rPr>
        <w:br/>
      </w:r>
    </w:p>
    <w:p w:rsidR="00EA05FB" w:rsidRPr="006366DD" w:rsidRDefault="00E955AA" w:rsidP="00DE39E3">
      <w:pPr>
        <w:pStyle w:val="Listenabsatz"/>
        <w:numPr>
          <w:ilvl w:val="0"/>
          <w:numId w:val="1"/>
        </w:numPr>
        <w:rPr>
          <w:b/>
          <w:bCs/>
          <w:lang w:val="de-AT"/>
        </w:rPr>
      </w:pPr>
      <w:r w:rsidRPr="006366DD">
        <w:rPr>
          <w:b/>
          <w:bCs/>
          <w:lang w:val="de-AT"/>
        </w:rPr>
        <w:t xml:space="preserve">Wie kann man die Bevölkerungszusammensetzung detaillierter unterteilen siehe </w:t>
      </w:r>
      <w:r w:rsidRPr="006366DD">
        <w:rPr>
          <w:b/>
          <w:bCs/>
          <w:highlight w:val="yellow"/>
          <w:lang w:val="de-AT"/>
        </w:rPr>
        <w:t>G1</w:t>
      </w:r>
    </w:p>
    <w:p w:rsidR="00ED634D" w:rsidRPr="006366DD" w:rsidRDefault="00ED634D" w:rsidP="00DE39E3">
      <w:pPr>
        <w:pStyle w:val="Listenabsatz"/>
        <w:numPr>
          <w:ilvl w:val="0"/>
          <w:numId w:val="1"/>
        </w:numPr>
        <w:rPr>
          <w:b/>
          <w:bCs/>
          <w:lang w:val="de-AT"/>
        </w:rPr>
      </w:pPr>
      <w:r w:rsidRPr="006366DD">
        <w:rPr>
          <w:b/>
          <w:bCs/>
          <w:lang w:val="de-AT"/>
        </w:rPr>
        <w:t xml:space="preserve">Vergleiche die alte Statistik im Buch Abb.48.1 2014 und </w:t>
      </w:r>
      <w:r w:rsidRPr="006366DD">
        <w:rPr>
          <w:b/>
          <w:bCs/>
          <w:highlight w:val="yellow"/>
          <w:lang w:val="de-AT"/>
        </w:rPr>
        <w:t xml:space="preserve">G2 </w:t>
      </w:r>
      <w:proofErr w:type="gramStart"/>
      <w:r w:rsidRPr="006366DD">
        <w:rPr>
          <w:b/>
          <w:bCs/>
          <w:highlight w:val="yellow"/>
          <w:lang w:val="de-AT"/>
        </w:rPr>
        <w:t>2018</w:t>
      </w:r>
      <w:r w:rsidRPr="006366DD">
        <w:rPr>
          <w:b/>
          <w:bCs/>
          <w:lang w:val="de-AT"/>
        </w:rPr>
        <w:t xml:space="preserve"> :</w:t>
      </w:r>
      <w:proofErr w:type="gramEnd"/>
      <w:r w:rsidRPr="006366DD">
        <w:rPr>
          <w:b/>
          <w:bCs/>
          <w:lang w:val="de-AT"/>
        </w:rPr>
        <w:br/>
        <w:t>Wie unterscheidet sich die Wanderungsbilanz</w:t>
      </w:r>
      <w:r w:rsidR="00E51373">
        <w:rPr>
          <w:b/>
          <w:bCs/>
          <w:lang w:val="de-AT"/>
        </w:rPr>
        <w:t>en</w:t>
      </w:r>
      <w:bookmarkStart w:id="0" w:name="_GoBack"/>
      <w:bookmarkEnd w:id="0"/>
      <w:r w:rsidRPr="006366DD">
        <w:rPr>
          <w:b/>
          <w:bCs/>
          <w:lang w:val="de-AT"/>
        </w:rPr>
        <w:t>?</w:t>
      </w:r>
    </w:p>
    <w:p w:rsidR="00ED634D" w:rsidRPr="00ED634D" w:rsidRDefault="00ED634D" w:rsidP="00ED634D">
      <w:pPr>
        <w:ind w:left="360"/>
        <w:rPr>
          <w:lang w:val="de-AT"/>
        </w:rPr>
      </w:pPr>
      <w:r w:rsidRPr="00ED634D">
        <w:rPr>
          <w:highlight w:val="yellow"/>
          <w:lang w:val="de-AT"/>
        </w:rPr>
        <w:t>G2</w:t>
      </w:r>
    </w:p>
    <w:p w:rsidR="00E955AA" w:rsidRPr="00EA05FB" w:rsidRDefault="00ED634D" w:rsidP="00EA05FB">
      <w:pPr>
        <w:rPr>
          <w:lang w:val="de-AT"/>
        </w:rPr>
      </w:pPr>
      <w:r w:rsidRPr="00ED634D">
        <w:rPr>
          <w:rFonts w:ascii="Verdana" w:eastAsiaTheme="minorEastAsia" w:hAnsi="Verdana"/>
          <w:noProof/>
          <w:color w:val="000000"/>
          <w:kern w:val="24"/>
          <w:lang w:val="de-AT"/>
        </w:rPr>
        <mc:AlternateContent>
          <mc:Choice Requires="wps">
            <w:drawing>
              <wp:anchor distT="45720" distB="45720" distL="114300" distR="114300" simplePos="0" relativeHeight="251663360" behindDoc="0" locked="0" layoutInCell="1" allowOverlap="1">
                <wp:simplePos x="0" y="0"/>
                <wp:positionH relativeFrom="margin">
                  <wp:posOffset>4262755</wp:posOffset>
                </wp:positionH>
                <wp:positionV relativeFrom="paragraph">
                  <wp:posOffset>3810</wp:posOffset>
                </wp:positionV>
                <wp:extent cx="2190750" cy="1600200"/>
                <wp:effectExtent l="0" t="0" r="19050"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750" cy="1600200"/>
                        </a:xfrm>
                        <a:prstGeom prst="rect">
                          <a:avLst/>
                        </a:prstGeom>
                        <a:solidFill>
                          <a:srgbClr val="FFFFFF"/>
                        </a:solidFill>
                        <a:ln w="9525">
                          <a:solidFill>
                            <a:srgbClr val="000000"/>
                          </a:solidFill>
                          <a:miter lim="800000"/>
                          <a:headEnd/>
                          <a:tailEnd/>
                        </a:ln>
                      </wps:spPr>
                      <wps:txbx>
                        <w:txbxContent>
                          <w:p w:rsidR="00ED634D" w:rsidRPr="00ED634D" w:rsidRDefault="00ED634D" w:rsidP="00ED634D">
                            <w:pPr>
                              <w:pStyle w:val="StandardWeb"/>
                              <w:spacing w:before="0" w:beforeAutospacing="0" w:after="0" w:afterAutospacing="0"/>
                              <w:rPr>
                                <w:sz w:val="18"/>
                                <w:szCs w:val="18"/>
                              </w:rPr>
                            </w:pPr>
                            <w:r w:rsidRPr="00ED634D">
                              <w:rPr>
                                <w:rFonts w:ascii="Verdana" w:eastAsiaTheme="minorEastAsia" w:hAnsi="Verdana" w:cstheme="minorBidi"/>
                                <w:color w:val="000000"/>
                                <w:kern w:val="24"/>
                                <w:sz w:val="18"/>
                                <w:szCs w:val="18"/>
                                <w:lang w:val="de-AT"/>
                              </w:rPr>
                              <w:t>Die Grafik zeigt am Beispiel des Jahres 2018, aus welchen Gründen Menschen aus dem Ausland nach Österreich kamen. Insgesamt zogen 146.900 Personen aus dem Ausland nach Österreich. Im gleichen Zeitraum verließen 111.600 Menschen das Land wieder. Das ergibt einen positiven Wanderungssaldo von 35.300 Menschen für 2018.</w:t>
                            </w:r>
                          </w:p>
                          <w:p w:rsidR="00ED634D" w:rsidRDefault="00ED6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5.65pt;margin-top:.3pt;width:172.5pt;height:126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">
                <v:textbox>
                  <w:txbxContent>
                    <w:p w:rsidR="00ED634D" w:rsidRPr="00ED634D" w:rsidRDefault="00ED634D" w:rsidP="00ED634D">
                      <w:pPr>
                        <w:pStyle w:val="StandardWeb"/>
                        <w:spacing w:before="0" w:beforeAutospacing="0" w:after="0" w:afterAutospacing="0"/>
                        <w:rPr>
                          <w:sz w:val="18"/>
                          <w:szCs w:val="18"/>
                        </w:rPr>
                      </w:pPr>
                      <w:r w:rsidRPr="00ED634D">
                        <w:rPr>
                          <w:rFonts w:ascii="Verdana" w:eastAsiaTheme="minorEastAsia" w:hAnsi="Verdana" w:cstheme="minorBidi"/>
                          <w:color w:val="000000"/>
                          <w:kern w:val="24"/>
                          <w:sz w:val="18"/>
                          <w:szCs w:val="18"/>
                          <w:lang w:val="de-AT"/>
                        </w:rPr>
                        <w:t>Die Grafik zeigt am Beispiel des Jahres 2018, aus welchen Gründen Menschen aus dem Ausland nach Österreich kamen. Insgesamt zogen 146.900 Personen aus dem Ausland nach Österreich. Im gleichen Zeitraum verließen 111.600 Menschen das Land wieder. Das ergibt einen positiven Wanderungssaldo von 35.300 Menschen für 2018.</w:t>
                      </w:r>
                    </w:p>
                    <w:p w:rsidR="00ED634D" w:rsidRDefault="00ED634D"/>
                  </w:txbxContent>
                </v:textbox>
                <w10:wrap type="square" anchorx="margin"/>
              </v:shape>
            </w:pict>
          </mc:Fallback>
        </mc:AlternateContent>
      </w:r>
      <w:r w:rsidRPr="00EA05FB">
        <w:rPr>
          <w:noProof/>
        </w:rPr>
        <w:drawing>
          <wp:anchor distT="0" distB="0" distL="114300" distR="114300" simplePos="0" relativeHeight="251661312" behindDoc="0" locked="0" layoutInCell="1" allowOverlap="1" wp14:anchorId="50F3FDC5">
            <wp:simplePos x="0" y="0"/>
            <wp:positionH relativeFrom="column">
              <wp:posOffset>268605</wp:posOffset>
            </wp:positionH>
            <wp:positionV relativeFrom="paragraph">
              <wp:posOffset>22860</wp:posOffset>
            </wp:positionV>
            <wp:extent cx="3213735" cy="1786255"/>
            <wp:effectExtent l="0" t="0" r="5715" b="4445"/>
            <wp:wrapThrough wrapText="bothSides">
              <wp:wrapPolygon edited="0">
                <wp:start x="0" y="0"/>
                <wp:lineTo x="0" y="21423"/>
                <wp:lineTo x="21510" y="21423"/>
                <wp:lineTo x="21510" y="0"/>
                <wp:lineTo x="0" y="0"/>
              </wp:wrapPolygon>
            </wp:wrapThrough>
            <wp:docPr id="2" name="Grafik 1">
              <a:extLst xmlns:a="http://schemas.openxmlformats.org/drawingml/2006/main">
                <a:ext uri="{FF2B5EF4-FFF2-40B4-BE49-F238E27FC236}">
                  <a16:creationId xmlns:a16="http://schemas.microsoft.com/office/drawing/2014/main" id="{E58C9A20-BC05-6B46-9009-61CC2CD70A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E58C9A20-BC05-6B46-9009-61CC2CD70A9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3735" cy="1786255"/>
                    </a:xfrm>
                    <a:prstGeom prst="rect">
                      <a:avLst/>
                    </a:prstGeom>
                  </pic:spPr>
                </pic:pic>
              </a:graphicData>
            </a:graphic>
            <wp14:sizeRelH relativeFrom="page">
              <wp14:pctWidth>0</wp14:pctWidth>
            </wp14:sizeRelH>
            <wp14:sizeRelV relativeFrom="page">
              <wp14:pctHeight>0</wp14:pctHeight>
            </wp14:sizeRelV>
          </wp:anchor>
        </w:drawing>
      </w:r>
      <w:r w:rsidR="00453B9A" w:rsidRPr="00EA05FB">
        <w:rPr>
          <w:lang w:val="de-AT"/>
        </w:rPr>
        <w:br/>
      </w:r>
      <w:r w:rsidR="00453B9A" w:rsidRPr="00EA05FB">
        <w:rPr>
          <w:lang w:val="de-AT"/>
        </w:rPr>
        <w:br/>
      </w:r>
    </w:p>
    <w:p w:rsidR="00453B9A" w:rsidRDefault="00453B9A" w:rsidP="00E955AA">
      <w:pPr>
        <w:rPr>
          <w:lang w:val="de-AT"/>
        </w:rPr>
      </w:pPr>
    </w:p>
    <w:p w:rsidR="00E955AA" w:rsidRDefault="00E955AA" w:rsidP="00E955AA">
      <w:pPr>
        <w:rPr>
          <w:lang w:val="de-AT"/>
        </w:rPr>
      </w:pPr>
    </w:p>
    <w:p w:rsidR="00E955AA" w:rsidRPr="00E955AA" w:rsidRDefault="00E955AA" w:rsidP="00E955AA"/>
    <w:p w:rsidR="00E955AA" w:rsidRPr="00E955AA" w:rsidRDefault="00E955AA" w:rsidP="00E955AA">
      <w:r w:rsidRPr="00E955AA">
        <w:rPr>
          <w:lang w:val="de-AT"/>
        </w:rPr>
        <w:t>.</w:t>
      </w:r>
    </w:p>
    <w:p w:rsidR="00C27E8E" w:rsidRDefault="00530814"/>
    <w:sectPr w:rsidR="00C27E8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814" w:rsidRDefault="00530814" w:rsidP="00E955AA">
      <w:pPr>
        <w:spacing w:after="0" w:line="240" w:lineRule="auto"/>
      </w:pPr>
      <w:r>
        <w:separator/>
      </w:r>
    </w:p>
  </w:endnote>
  <w:endnote w:type="continuationSeparator" w:id="0">
    <w:p w:rsidR="00530814" w:rsidRDefault="00530814" w:rsidP="00E9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814" w:rsidRDefault="00530814" w:rsidP="00E955AA">
      <w:pPr>
        <w:spacing w:after="0" w:line="240" w:lineRule="auto"/>
      </w:pPr>
      <w:r>
        <w:separator/>
      </w:r>
    </w:p>
  </w:footnote>
  <w:footnote w:type="continuationSeparator" w:id="0">
    <w:p w:rsidR="00530814" w:rsidRDefault="00530814" w:rsidP="00E9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5AA" w:rsidRPr="00E955AA" w:rsidRDefault="00E955AA">
    <w:pPr>
      <w:pStyle w:val="Kopfzeile"/>
      <w:rPr>
        <w:sz w:val="28"/>
        <w:szCs w:val="28"/>
      </w:rPr>
    </w:pPr>
    <w:r w:rsidRPr="00E955AA">
      <w:rPr>
        <w:sz w:val="28"/>
        <w:szCs w:val="28"/>
      </w:rPr>
      <w:t>Goe_Geo_AB6_W6_3a_Bevölkerungszusammensetzung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35B87"/>
    <w:multiLevelType w:val="hybridMultilevel"/>
    <w:tmpl w:val="25DAA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AA"/>
    <w:rsid w:val="00084AE1"/>
    <w:rsid w:val="00453B9A"/>
    <w:rsid w:val="004A0E6C"/>
    <w:rsid w:val="00530814"/>
    <w:rsid w:val="006366DD"/>
    <w:rsid w:val="00D15E2E"/>
    <w:rsid w:val="00E51373"/>
    <w:rsid w:val="00E955AA"/>
    <w:rsid w:val="00EA05FB"/>
    <w:rsid w:val="00ED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F838"/>
  <w15:chartTrackingRefBased/>
  <w15:docId w15:val="{337D1886-8D72-4966-B96F-77162EC1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55A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955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5AA"/>
  </w:style>
  <w:style w:type="paragraph" w:styleId="Fuzeile">
    <w:name w:val="footer"/>
    <w:basedOn w:val="Standard"/>
    <w:link w:val="FuzeileZchn"/>
    <w:uiPriority w:val="99"/>
    <w:unhideWhenUsed/>
    <w:rsid w:val="00E955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5AA"/>
  </w:style>
  <w:style w:type="paragraph" w:styleId="Listenabsatz">
    <w:name w:val="List Paragraph"/>
    <w:basedOn w:val="Standard"/>
    <w:uiPriority w:val="34"/>
    <w:qFormat/>
    <w:rsid w:val="00EA0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2952">
      <w:bodyDiv w:val="1"/>
      <w:marLeft w:val="0"/>
      <w:marRight w:val="0"/>
      <w:marTop w:val="0"/>
      <w:marBottom w:val="0"/>
      <w:divBdr>
        <w:top w:val="none" w:sz="0" w:space="0" w:color="auto"/>
        <w:left w:val="none" w:sz="0" w:space="0" w:color="auto"/>
        <w:bottom w:val="none" w:sz="0" w:space="0" w:color="auto"/>
        <w:right w:val="none" w:sz="0" w:space="0" w:color="auto"/>
      </w:divBdr>
    </w:div>
    <w:div w:id="654379692">
      <w:bodyDiv w:val="1"/>
      <w:marLeft w:val="0"/>
      <w:marRight w:val="0"/>
      <w:marTop w:val="0"/>
      <w:marBottom w:val="0"/>
      <w:divBdr>
        <w:top w:val="none" w:sz="0" w:space="0" w:color="auto"/>
        <w:left w:val="none" w:sz="0" w:space="0" w:color="auto"/>
        <w:bottom w:val="none" w:sz="0" w:space="0" w:color="auto"/>
        <w:right w:val="none" w:sz="0" w:space="0" w:color="auto"/>
      </w:divBdr>
    </w:div>
    <w:div w:id="685013324">
      <w:bodyDiv w:val="1"/>
      <w:marLeft w:val="0"/>
      <w:marRight w:val="0"/>
      <w:marTop w:val="0"/>
      <w:marBottom w:val="0"/>
      <w:divBdr>
        <w:top w:val="none" w:sz="0" w:space="0" w:color="auto"/>
        <w:left w:val="none" w:sz="0" w:space="0" w:color="auto"/>
        <w:bottom w:val="none" w:sz="0" w:space="0" w:color="auto"/>
        <w:right w:val="none" w:sz="0" w:space="0" w:color="auto"/>
      </w:divBdr>
    </w:div>
    <w:div w:id="909196096">
      <w:bodyDiv w:val="1"/>
      <w:marLeft w:val="0"/>
      <w:marRight w:val="0"/>
      <w:marTop w:val="0"/>
      <w:marBottom w:val="0"/>
      <w:divBdr>
        <w:top w:val="none" w:sz="0" w:space="0" w:color="auto"/>
        <w:left w:val="none" w:sz="0" w:space="0" w:color="auto"/>
        <w:bottom w:val="none" w:sz="0" w:space="0" w:color="auto"/>
        <w:right w:val="none" w:sz="0" w:space="0" w:color="auto"/>
      </w:divBdr>
    </w:div>
    <w:div w:id="20725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Goenitzer Ingo</dc:creator>
  <cp:keywords/>
  <dc:description/>
  <cp:lastModifiedBy>Goenitzer Ingo</cp:lastModifiedBy>
  <cp:revision>3</cp:revision>
  <cp:lastPrinted>2020-05-02T12:45:00Z</cp:lastPrinted>
  <dcterms:created xsi:type="dcterms:W3CDTF">2020-04-30T07:42:00Z</dcterms:created>
  <dcterms:modified xsi:type="dcterms:W3CDTF">2020-05-02T12:45:00Z</dcterms:modified>
</cp:coreProperties>
</file>