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E8E" w:rsidRPr="00071CE5" w:rsidRDefault="00481368">
      <w:pPr>
        <w:rPr>
          <w:b/>
          <w:bCs/>
          <w:sz w:val="24"/>
          <w:szCs w:val="24"/>
          <w:u w:val="single"/>
        </w:rPr>
      </w:pPr>
      <w:r w:rsidRPr="00071CE5">
        <w:rPr>
          <w:b/>
          <w:bCs/>
          <w:sz w:val="24"/>
          <w:szCs w:val="24"/>
          <w:u w:val="single"/>
        </w:rPr>
        <w:t>Thema Industrie (Wiederholung Buch S 173-175):</w:t>
      </w:r>
    </w:p>
    <w:p w:rsidR="00481368" w:rsidRPr="00071CE5" w:rsidRDefault="00481368" w:rsidP="00706B61">
      <w:pPr>
        <w:pStyle w:val="Listenabsatz"/>
        <w:numPr>
          <w:ilvl w:val="0"/>
          <w:numId w:val="2"/>
        </w:numPr>
        <w:rPr>
          <w:b/>
          <w:bCs/>
          <w:sz w:val="24"/>
          <w:szCs w:val="24"/>
        </w:rPr>
      </w:pPr>
      <w:r w:rsidRPr="00071CE5">
        <w:rPr>
          <w:b/>
          <w:bCs/>
          <w:sz w:val="24"/>
          <w:szCs w:val="24"/>
        </w:rPr>
        <w:t>Erläutere harte und weiche Standortfaktoren für die Industrie:</w:t>
      </w:r>
      <w:r w:rsidRPr="00071CE5">
        <w:rPr>
          <w:b/>
          <w:bCs/>
          <w:sz w:val="24"/>
          <w:szCs w:val="24"/>
        </w:rPr>
        <w:br/>
      </w:r>
      <w:r w:rsidRPr="00071CE5">
        <w:rPr>
          <w:b/>
          <w:bCs/>
          <w:sz w:val="24"/>
          <w:szCs w:val="24"/>
        </w:rPr>
        <w:br/>
      </w:r>
      <w:r w:rsidRPr="00071CE5">
        <w:rPr>
          <w:b/>
          <w:bCs/>
          <w:sz w:val="24"/>
          <w:szCs w:val="24"/>
        </w:rPr>
        <w:br/>
      </w:r>
    </w:p>
    <w:p w:rsidR="00481368" w:rsidRPr="00071CE5" w:rsidRDefault="00481368" w:rsidP="00706B61">
      <w:pPr>
        <w:pStyle w:val="Listenabsatz"/>
        <w:numPr>
          <w:ilvl w:val="0"/>
          <w:numId w:val="2"/>
        </w:numPr>
        <w:rPr>
          <w:b/>
          <w:bCs/>
          <w:sz w:val="24"/>
          <w:szCs w:val="24"/>
        </w:rPr>
      </w:pPr>
      <w:r w:rsidRPr="00071CE5">
        <w:rPr>
          <w:b/>
          <w:bCs/>
          <w:sz w:val="24"/>
          <w:szCs w:val="24"/>
        </w:rPr>
        <w:t>Was bedeutet JUST IN TIME?</w:t>
      </w:r>
      <w:r w:rsidR="00706B61" w:rsidRPr="00071CE5">
        <w:rPr>
          <w:b/>
          <w:bCs/>
          <w:sz w:val="24"/>
          <w:szCs w:val="24"/>
        </w:rPr>
        <w:br/>
      </w:r>
      <w:r w:rsidR="00706B61" w:rsidRPr="00071CE5">
        <w:rPr>
          <w:b/>
          <w:bCs/>
          <w:sz w:val="24"/>
          <w:szCs w:val="24"/>
        </w:rPr>
        <w:br/>
      </w:r>
    </w:p>
    <w:p w:rsidR="00706B61" w:rsidRPr="00071CE5" w:rsidRDefault="00481368" w:rsidP="00706B61">
      <w:pPr>
        <w:pStyle w:val="Listenabsatz"/>
        <w:numPr>
          <w:ilvl w:val="0"/>
          <w:numId w:val="2"/>
        </w:numPr>
        <w:rPr>
          <w:b/>
          <w:bCs/>
          <w:sz w:val="24"/>
          <w:szCs w:val="24"/>
        </w:rPr>
      </w:pPr>
      <w:r w:rsidRPr="00071CE5">
        <w:rPr>
          <w:b/>
          <w:bCs/>
          <w:sz w:val="24"/>
          <w:szCs w:val="24"/>
        </w:rPr>
        <w:t>Ordne die größten Unternehmen nach Staaten mit Hilfe der Abb.174.2.</w:t>
      </w:r>
      <w:r w:rsidR="00706B61" w:rsidRPr="00071CE5">
        <w:rPr>
          <w:b/>
          <w:bCs/>
          <w:sz w:val="24"/>
          <w:szCs w:val="24"/>
        </w:rPr>
        <w:br/>
      </w:r>
    </w:p>
    <w:p w:rsidR="00706B61" w:rsidRPr="00071CE5" w:rsidRDefault="00706B61" w:rsidP="00706B61">
      <w:pPr>
        <w:rPr>
          <w:b/>
          <w:bCs/>
          <w:sz w:val="24"/>
          <w:szCs w:val="24"/>
        </w:rPr>
      </w:pPr>
    </w:p>
    <w:p w:rsidR="00706B61" w:rsidRPr="00071CE5" w:rsidRDefault="00481368" w:rsidP="00706B61">
      <w:pPr>
        <w:pStyle w:val="Listenabsatz"/>
        <w:numPr>
          <w:ilvl w:val="0"/>
          <w:numId w:val="2"/>
        </w:numPr>
        <w:rPr>
          <w:b/>
          <w:bCs/>
          <w:sz w:val="24"/>
          <w:szCs w:val="24"/>
        </w:rPr>
      </w:pPr>
      <w:r w:rsidRPr="00071CE5">
        <w:rPr>
          <w:b/>
          <w:bCs/>
          <w:sz w:val="24"/>
          <w:szCs w:val="24"/>
        </w:rPr>
        <w:t>Interpret</w:t>
      </w:r>
      <w:r w:rsidR="00706B61" w:rsidRPr="00071CE5">
        <w:rPr>
          <w:b/>
          <w:bCs/>
          <w:sz w:val="24"/>
          <w:szCs w:val="24"/>
        </w:rPr>
        <w:t>ation</w:t>
      </w:r>
      <w:r w:rsidRPr="00071CE5">
        <w:rPr>
          <w:b/>
          <w:bCs/>
          <w:sz w:val="24"/>
          <w:szCs w:val="24"/>
        </w:rPr>
        <w:t xml:space="preserve"> d</w:t>
      </w:r>
      <w:r w:rsidR="00706B61" w:rsidRPr="00071CE5">
        <w:rPr>
          <w:b/>
          <w:bCs/>
          <w:sz w:val="24"/>
          <w:szCs w:val="24"/>
        </w:rPr>
        <w:t>er</w:t>
      </w:r>
      <w:r w:rsidRPr="00071CE5">
        <w:rPr>
          <w:b/>
          <w:bCs/>
          <w:sz w:val="24"/>
          <w:szCs w:val="24"/>
        </w:rPr>
        <w:t xml:space="preserve"> Abb.174.3 den Bereich der Hightech-Industrie</w:t>
      </w:r>
      <w:r w:rsidR="00706B61" w:rsidRPr="00071CE5">
        <w:rPr>
          <w:b/>
          <w:bCs/>
          <w:sz w:val="24"/>
          <w:szCs w:val="24"/>
        </w:rPr>
        <w:t>. (auch der Vergleich zwischen US-Silicon Valley und andere EU Staaten ist interessant):</w:t>
      </w:r>
    </w:p>
    <w:p w:rsidR="00706B61" w:rsidRDefault="00706B61" w:rsidP="00706B61"/>
    <w:p w:rsidR="00706B61" w:rsidRDefault="00706B61" w:rsidP="00706B61">
      <w:pPr>
        <w:rPr>
          <w:b/>
          <w:bCs/>
          <w:sz w:val="24"/>
          <w:szCs w:val="24"/>
          <w:u w:val="single"/>
        </w:rPr>
      </w:pPr>
      <w:r w:rsidRPr="00706B61">
        <w:rPr>
          <w:b/>
          <w:bCs/>
          <w:sz w:val="24"/>
          <w:szCs w:val="24"/>
          <w:u w:val="single"/>
        </w:rPr>
        <w:t>Thema Tourismus:</w:t>
      </w:r>
    </w:p>
    <w:p w:rsidR="00706B61" w:rsidRPr="00BE226B" w:rsidRDefault="00706B61" w:rsidP="00BE226B">
      <w:pPr>
        <w:rPr>
          <w:sz w:val="18"/>
          <w:szCs w:val="18"/>
        </w:rPr>
      </w:pPr>
      <w:r>
        <w:rPr>
          <w:b/>
          <w:bCs/>
          <w:sz w:val="24"/>
          <w:szCs w:val="24"/>
        </w:rPr>
        <w:t>Aktuelle Situation in Europa Hilfestellungen werden aufgezeigt:</w:t>
      </w:r>
      <w:r w:rsidRPr="00BE226B">
        <w:rPr>
          <w:sz w:val="18"/>
          <w:szCs w:val="18"/>
        </w:rPr>
        <w:t xml:space="preserve"> </w:t>
      </w:r>
      <w:r w:rsidR="00BE226B">
        <w:rPr>
          <w:sz w:val="18"/>
          <w:szCs w:val="18"/>
        </w:rPr>
        <w:br/>
      </w:r>
      <w:r w:rsidRPr="00BE226B">
        <w:rPr>
          <w:b/>
          <w:bCs/>
          <w:sz w:val="18"/>
          <w:szCs w:val="18"/>
        </w:rPr>
        <w:t>Newsletter Nr. 890 des VBB Kärnten in Brüssel</w:t>
      </w:r>
      <w:r w:rsidR="00BE226B">
        <w:rPr>
          <w:sz w:val="18"/>
          <w:szCs w:val="18"/>
        </w:rPr>
        <w:br/>
      </w:r>
      <w:r>
        <w:rPr>
          <w:rStyle w:val="Fett"/>
          <w:rFonts w:ascii="Arial" w:eastAsia="Times New Roman" w:hAnsi="Arial" w:cs="Arial"/>
          <w:color w:val="0E4F76"/>
          <w:sz w:val="17"/>
          <w:szCs w:val="17"/>
        </w:rPr>
        <w:t>EU-Institutionen und Entscheidungen des EuGH</w:t>
      </w:r>
      <w:r>
        <w:rPr>
          <w:rFonts w:ascii="Arial" w:eastAsia="Times New Roman" w:hAnsi="Arial" w:cs="Arial"/>
          <w:color w:val="0E4F76"/>
          <w:sz w:val="17"/>
          <w:szCs w:val="17"/>
        </w:rPr>
        <w:t xml:space="preserve"> </w:t>
      </w:r>
      <w:r>
        <w:rPr>
          <w:rFonts w:ascii="Arial" w:eastAsia="Times New Roman" w:hAnsi="Arial" w:cs="Arial"/>
          <w:color w:val="3C4858"/>
          <w:sz w:val="21"/>
          <w:szCs w:val="21"/>
        </w:rPr>
        <w:br/>
      </w:r>
      <w:r w:rsidRPr="00706B61">
        <w:rPr>
          <w:rStyle w:val="Fett"/>
          <w:rFonts w:ascii="Arial" w:eastAsia="Times New Roman" w:hAnsi="Arial" w:cs="Arial"/>
          <w:color w:val="000000"/>
        </w:rPr>
        <w:t>EU-Kommission präsentiert Maßnahmenpaket zur sicheren Wiederaufnahme von Reisen und zur schrittweisen Wiederherstellung des europäischen Tourismus</w:t>
      </w:r>
    </w:p>
    <w:p w:rsidR="00BE226B" w:rsidRDefault="00706B61" w:rsidP="00706B61">
      <w:pPr>
        <w:rPr>
          <w:rFonts w:ascii="Arial" w:eastAsia="Times New Roman" w:hAnsi="Arial" w:cs="Arial"/>
          <w:color w:val="000000"/>
          <w:sz w:val="18"/>
          <w:szCs w:val="18"/>
        </w:rPr>
      </w:pPr>
      <w:r>
        <w:rPr>
          <w:rFonts w:ascii="Arial" w:eastAsia="Times New Roman" w:hAnsi="Arial" w:cs="Arial"/>
          <w:color w:val="000000"/>
          <w:sz w:val="18"/>
          <w:szCs w:val="18"/>
        </w:rPr>
        <w:t>Am Mittwoch, den 13. Mai 2020 hat die EU-Kommission ein umfassendes Maßnahmenpaket mit Richtlinien und Empfehlungen zur sicheren Wiederaufnahme von Reisen durch die schrittweise Aufhebung der Reisebeschränkungen sowie zur Wiedereröffnung von touristischen Einrichtungen vorgestellt. Alle Maßnahmen sind an die notwendigen Gesundheitsvorschriften gebunden und stehen in Einklang mit dem am 14. April 2020 veröffentlichten Fahrplan zur schrittweisen Aufhebung der Corona-Maßnahmen (wir berichteten). Das neue Tourismus- und Transportpaket enthält eine allgemeine Recovery-Strategie für das Jahr 2020 und darüber hinaus, und einen koordinierten Ansatz zur Wiederherstellung des freien Personen- und Güterverkehrs sowie zur Aufhebung der Beschränkungen an den Binnengrenzen. Zudem beinhaltet das Paket Rahmenbedingungen zur schrittweisen Wiederherstellung von Transportmöglichkeiten unter Gewährleistung der Sicherheit für Personal und Passagiere, eine Empfehlung zur Attraktivitätssteigerung von Reisegutscheinen als Alternative zu Barrückerstattungen sowie Kriterien zur sicheren Wiederherstellung von Tourismusaktivitäten und zur Entwicklung von Gesundheitsprotokollen für das Gast- und Beherbergungsgewerbe. Alle diese Maßnahmen bedürfen genauer Koordination zwischen den Mitgliedstaaten und müssen, insbesondere die Grenzöffnungen betreffend, dem Prinzip der Nichtdiskriminierung folgen. Die Wiedereröffnung von Grenzen sowie von Betrieben müsse auf Basis epidemiologischer Entwicklungen geschehen und soll darüber hinaus ökonomischen und sozialen Faktoren Berücksichtigung schenken. Die EU unterstützt Gewerbe aus dem Tourismus- und Transportsektor außerdem genauso wie jene aus allen anderen Bereichen durch flexible Regelungen für Staatshilfen, die Bereitstellung sofortiger Liquidität durch die Investitionshilfe zur Bewältigung der Coronavirus-Krise (CRII und CRII+) sowie Gelder in der Höhe von insgesamt 8 Milliarden Euro für 100.000 schwer von der Krise getroffene KMU aus dem Europäischen Investitionsfonds (EIF) und durch das 100 Milliarden Euro schwere Solidaritätsinstrument SURE.</w:t>
      </w:r>
    </w:p>
    <w:p w:rsidR="00706B61" w:rsidRPr="00BE226B" w:rsidRDefault="00BE226B" w:rsidP="00BE226B">
      <w:pPr>
        <w:pStyle w:val="Listenabsatz"/>
        <w:numPr>
          <w:ilvl w:val="0"/>
          <w:numId w:val="3"/>
        </w:numPr>
        <w:rPr>
          <w:b/>
          <w:bCs/>
          <w:sz w:val="24"/>
          <w:szCs w:val="24"/>
        </w:rPr>
      </w:pPr>
      <w:r w:rsidRPr="00BE226B">
        <w:rPr>
          <w:rFonts w:ascii="Arial" w:eastAsia="Times New Roman" w:hAnsi="Arial" w:cs="Arial"/>
          <w:b/>
          <w:bCs/>
          <w:color w:val="000000"/>
          <w:sz w:val="24"/>
          <w:szCs w:val="24"/>
        </w:rPr>
        <w:t>Recherchiere die Situation in Österreich. Welche Grenzöffnungen sind geplant?</w:t>
      </w:r>
      <w:r w:rsidR="00706B61" w:rsidRPr="00BE226B">
        <w:rPr>
          <w:rFonts w:ascii="Arial" w:eastAsia="Times New Roman" w:hAnsi="Arial" w:cs="Arial"/>
          <w:b/>
          <w:bCs/>
          <w:color w:val="3C4858"/>
          <w:sz w:val="24"/>
          <w:szCs w:val="24"/>
        </w:rPr>
        <w:t> </w:t>
      </w:r>
    </w:p>
    <w:p w:rsidR="00481368" w:rsidRDefault="00BE226B">
      <w:r>
        <w:br/>
      </w:r>
      <w:r>
        <w:br/>
      </w:r>
      <w:r>
        <w:br/>
      </w:r>
      <w:r>
        <w:br/>
      </w:r>
      <w:r>
        <w:br/>
      </w:r>
      <w:r>
        <w:lastRenderedPageBreak/>
        <w:br/>
      </w:r>
    </w:p>
    <w:p w:rsidR="00BE226B" w:rsidRPr="00BE226B" w:rsidRDefault="00BE226B" w:rsidP="00BE226B">
      <w:pPr>
        <w:pStyle w:val="Listenabsatz"/>
        <w:numPr>
          <w:ilvl w:val="0"/>
          <w:numId w:val="3"/>
        </w:numPr>
        <w:rPr>
          <w:b/>
          <w:bCs/>
          <w:sz w:val="24"/>
          <w:szCs w:val="24"/>
        </w:rPr>
      </w:pPr>
      <w:r w:rsidRPr="00BE226B">
        <w:rPr>
          <w:b/>
          <w:bCs/>
          <w:sz w:val="24"/>
          <w:szCs w:val="24"/>
        </w:rPr>
        <w:t>Tourismusregionen in Europa und der Stellenwert</w:t>
      </w:r>
      <w:r>
        <w:rPr>
          <w:b/>
          <w:bCs/>
          <w:sz w:val="24"/>
          <w:szCs w:val="24"/>
        </w:rPr>
        <w:br/>
      </w:r>
      <w:r w:rsidRPr="00BE226B">
        <w:rPr>
          <w:b/>
          <w:bCs/>
          <w:sz w:val="24"/>
          <w:szCs w:val="24"/>
        </w:rPr>
        <w:t>des Tourismus für Europa (Buch S176)</w:t>
      </w:r>
      <w:r w:rsidRPr="00BE226B">
        <w:rPr>
          <w:b/>
          <w:bCs/>
          <w:sz w:val="24"/>
          <w:szCs w:val="24"/>
        </w:rPr>
        <w:br/>
        <w:t xml:space="preserve">Welche europäische Staaten sind im </w:t>
      </w:r>
      <w:r w:rsidR="00715B2E">
        <w:rPr>
          <w:b/>
          <w:bCs/>
          <w:sz w:val="24"/>
          <w:szCs w:val="24"/>
        </w:rPr>
        <w:t>„</w:t>
      </w:r>
      <w:r w:rsidRPr="00BE226B">
        <w:rPr>
          <w:b/>
          <w:bCs/>
          <w:sz w:val="24"/>
          <w:szCs w:val="24"/>
        </w:rPr>
        <w:t>internationalen Spitzenfel</w:t>
      </w:r>
      <w:r>
        <w:rPr>
          <w:b/>
          <w:bCs/>
          <w:sz w:val="24"/>
          <w:szCs w:val="24"/>
        </w:rPr>
        <w:t>d</w:t>
      </w:r>
      <w:r w:rsidR="00715B2E">
        <w:rPr>
          <w:b/>
          <w:bCs/>
          <w:sz w:val="24"/>
          <w:szCs w:val="24"/>
        </w:rPr>
        <w:t xml:space="preserve">“ </w:t>
      </w:r>
      <w:r w:rsidRPr="00BE226B">
        <w:rPr>
          <w:b/>
          <w:bCs/>
          <w:sz w:val="24"/>
          <w:szCs w:val="24"/>
        </w:rPr>
        <w:t>- gemessen an der Anzahl touristischer Ankünfte aus dem Ausland (2014</w:t>
      </w:r>
      <w:r w:rsidR="00B35C26">
        <w:rPr>
          <w:b/>
          <w:bCs/>
          <w:sz w:val="24"/>
          <w:szCs w:val="24"/>
        </w:rPr>
        <w:t xml:space="preserve"> </w:t>
      </w:r>
      <w:r w:rsidRPr="00BE226B">
        <w:rPr>
          <w:b/>
          <w:bCs/>
          <w:sz w:val="24"/>
          <w:szCs w:val="24"/>
        </w:rPr>
        <w:t>Abb.176.2)</w:t>
      </w:r>
      <w:r w:rsidR="00715B2E">
        <w:rPr>
          <w:b/>
          <w:bCs/>
          <w:sz w:val="24"/>
          <w:szCs w:val="24"/>
        </w:rPr>
        <w:t>?</w:t>
      </w:r>
      <w:r>
        <w:rPr>
          <w:b/>
          <w:bCs/>
          <w:sz w:val="24"/>
          <w:szCs w:val="24"/>
        </w:rPr>
        <w:br/>
      </w:r>
      <w:r>
        <w:rPr>
          <w:b/>
          <w:bCs/>
          <w:sz w:val="24"/>
          <w:szCs w:val="24"/>
        </w:rPr>
        <w:br/>
      </w:r>
      <w:r>
        <w:rPr>
          <w:b/>
          <w:bCs/>
          <w:sz w:val="24"/>
          <w:szCs w:val="24"/>
        </w:rPr>
        <w:br/>
      </w:r>
      <w:r>
        <w:rPr>
          <w:b/>
          <w:bCs/>
          <w:sz w:val="24"/>
          <w:szCs w:val="24"/>
        </w:rPr>
        <w:br/>
      </w:r>
      <w:r>
        <w:rPr>
          <w:b/>
          <w:bCs/>
          <w:sz w:val="24"/>
          <w:szCs w:val="24"/>
        </w:rPr>
        <w:br/>
      </w:r>
    </w:p>
    <w:p w:rsidR="00B35C26" w:rsidRDefault="00BE226B" w:rsidP="00BE226B">
      <w:pPr>
        <w:pStyle w:val="Listenabsatz"/>
        <w:numPr>
          <w:ilvl w:val="0"/>
          <w:numId w:val="3"/>
        </w:numPr>
        <w:rPr>
          <w:b/>
          <w:bCs/>
          <w:sz w:val="24"/>
          <w:szCs w:val="24"/>
        </w:rPr>
      </w:pPr>
      <w:r w:rsidRPr="00BE226B">
        <w:rPr>
          <w:b/>
          <w:bCs/>
          <w:sz w:val="24"/>
          <w:szCs w:val="24"/>
        </w:rPr>
        <w:t>Arten von Tourismus: (Aufzählung, Branchen, Saison usw.)</w:t>
      </w:r>
      <w:r w:rsidR="00B35C26">
        <w:rPr>
          <w:b/>
          <w:bCs/>
          <w:sz w:val="24"/>
          <w:szCs w:val="24"/>
        </w:rPr>
        <w:br/>
      </w:r>
      <w:r w:rsidR="00B35C26">
        <w:rPr>
          <w:b/>
          <w:bCs/>
          <w:sz w:val="24"/>
          <w:szCs w:val="24"/>
        </w:rPr>
        <w:br/>
      </w:r>
      <w:r w:rsidR="00B35C26">
        <w:rPr>
          <w:b/>
          <w:bCs/>
          <w:sz w:val="24"/>
          <w:szCs w:val="24"/>
        </w:rPr>
        <w:br/>
      </w:r>
      <w:r w:rsidR="00B35C26">
        <w:rPr>
          <w:b/>
          <w:bCs/>
          <w:sz w:val="24"/>
          <w:szCs w:val="24"/>
        </w:rPr>
        <w:br/>
      </w:r>
      <w:r w:rsidR="00B35C26">
        <w:rPr>
          <w:b/>
          <w:bCs/>
          <w:sz w:val="24"/>
          <w:szCs w:val="24"/>
        </w:rPr>
        <w:br/>
      </w:r>
      <w:r w:rsidR="00B35C26">
        <w:rPr>
          <w:b/>
          <w:bCs/>
          <w:sz w:val="24"/>
          <w:szCs w:val="24"/>
        </w:rPr>
        <w:br/>
      </w:r>
    </w:p>
    <w:p w:rsidR="00B35C26" w:rsidRDefault="00B35C26" w:rsidP="00BE226B">
      <w:pPr>
        <w:pStyle w:val="Listenabsatz"/>
        <w:numPr>
          <w:ilvl w:val="0"/>
          <w:numId w:val="3"/>
        </w:numPr>
        <w:rPr>
          <w:b/>
          <w:bCs/>
          <w:sz w:val="24"/>
          <w:szCs w:val="24"/>
        </w:rPr>
      </w:pPr>
      <w:r>
        <w:rPr>
          <w:b/>
          <w:bCs/>
          <w:sz w:val="24"/>
          <w:szCs w:val="24"/>
        </w:rPr>
        <w:t xml:space="preserve">Veränderung der internationalen Touristenankünfte in Spanien und Türkei siehe Abb.178.2. </w:t>
      </w:r>
      <w:r w:rsidR="00857B88">
        <w:rPr>
          <w:b/>
          <w:bCs/>
          <w:sz w:val="24"/>
          <w:szCs w:val="24"/>
        </w:rPr>
        <w:t>kurze Interpretation!</w:t>
      </w:r>
      <w:r>
        <w:rPr>
          <w:b/>
          <w:bCs/>
          <w:sz w:val="24"/>
          <w:szCs w:val="24"/>
        </w:rPr>
        <w:br/>
        <w:t>Veränderungen im Jahr 2020 durch die Coronakrise werden erst im Herbst sichtbar.</w:t>
      </w:r>
    </w:p>
    <w:p w:rsidR="00B35C26" w:rsidRDefault="00B35C26" w:rsidP="00B35C26">
      <w:pPr>
        <w:pStyle w:val="Listenabsatz"/>
        <w:rPr>
          <w:b/>
          <w:bCs/>
          <w:sz w:val="24"/>
          <w:szCs w:val="24"/>
        </w:rPr>
      </w:pPr>
      <w:r>
        <w:rPr>
          <w:b/>
          <w:bCs/>
          <w:sz w:val="24"/>
          <w:szCs w:val="24"/>
        </w:rPr>
        <w:t>Welche Länder wird es am meisten treffen? Recherche oder eigene Meinung</w:t>
      </w:r>
      <w:r w:rsidR="00715B2E">
        <w:rPr>
          <w:b/>
          <w:bCs/>
          <w:sz w:val="24"/>
          <w:szCs w:val="24"/>
        </w:rPr>
        <w:t>:</w:t>
      </w:r>
      <w:bookmarkStart w:id="0" w:name="_GoBack"/>
      <w:bookmarkEnd w:id="0"/>
      <w:r>
        <w:rPr>
          <w:b/>
          <w:bCs/>
          <w:sz w:val="24"/>
          <w:szCs w:val="24"/>
        </w:rPr>
        <w:br/>
      </w:r>
      <w:r>
        <w:rPr>
          <w:b/>
          <w:bCs/>
          <w:sz w:val="24"/>
          <w:szCs w:val="24"/>
        </w:rPr>
        <w:br/>
      </w:r>
      <w:r>
        <w:rPr>
          <w:b/>
          <w:bCs/>
          <w:sz w:val="24"/>
          <w:szCs w:val="24"/>
        </w:rPr>
        <w:br/>
      </w:r>
      <w:r>
        <w:rPr>
          <w:b/>
          <w:bCs/>
          <w:sz w:val="24"/>
          <w:szCs w:val="24"/>
        </w:rPr>
        <w:br/>
      </w:r>
      <w:r>
        <w:rPr>
          <w:b/>
          <w:bCs/>
          <w:sz w:val="24"/>
          <w:szCs w:val="24"/>
        </w:rPr>
        <w:br/>
      </w:r>
    </w:p>
    <w:p w:rsidR="00BE226B" w:rsidRPr="00BE226B" w:rsidRDefault="00B35C26" w:rsidP="00BE226B">
      <w:pPr>
        <w:pStyle w:val="Listenabsatz"/>
        <w:numPr>
          <w:ilvl w:val="0"/>
          <w:numId w:val="3"/>
        </w:numPr>
        <w:rPr>
          <w:b/>
          <w:bCs/>
          <w:sz w:val="24"/>
          <w:szCs w:val="24"/>
        </w:rPr>
      </w:pPr>
      <w:r>
        <w:rPr>
          <w:b/>
          <w:bCs/>
          <w:sz w:val="24"/>
          <w:szCs w:val="24"/>
        </w:rPr>
        <w:t>Wie sicher ist mein Reiseziel? (Buch S 178)</w:t>
      </w:r>
      <w:r>
        <w:rPr>
          <w:b/>
          <w:bCs/>
          <w:sz w:val="24"/>
          <w:szCs w:val="24"/>
        </w:rPr>
        <w:br/>
        <w:t>Welche andere Gefahren außer Corona werden hier beschrieben?</w:t>
      </w:r>
      <w:r w:rsidR="00BE226B">
        <w:rPr>
          <w:b/>
          <w:bCs/>
          <w:sz w:val="24"/>
          <w:szCs w:val="24"/>
        </w:rPr>
        <w:br/>
      </w:r>
      <w:r w:rsidR="00BE226B">
        <w:rPr>
          <w:b/>
          <w:bCs/>
          <w:sz w:val="24"/>
          <w:szCs w:val="24"/>
        </w:rPr>
        <w:br/>
      </w:r>
      <w:r w:rsidR="00BE226B">
        <w:rPr>
          <w:b/>
          <w:bCs/>
          <w:sz w:val="24"/>
          <w:szCs w:val="24"/>
        </w:rPr>
        <w:br/>
      </w:r>
      <w:r w:rsidR="00BE226B">
        <w:rPr>
          <w:b/>
          <w:bCs/>
          <w:sz w:val="24"/>
          <w:szCs w:val="24"/>
        </w:rPr>
        <w:br/>
      </w:r>
      <w:r w:rsidR="00BE226B">
        <w:rPr>
          <w:b/>
          <w:bCs/>
          <w:sz w:val="24"/>
          <w:szCs w:val="24"/>
        </w:rPr>
        <w:br/>
      </w:r>
    </w:p>
    <w:sectPr w:rsidR="00BE226B" w:rsidRPr="00BE226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5DD" w:rsidRDefault="00A005DD" w:rsidP="00481368">
      <w:pPr>
        <w:spacing w:after="0" w:line="240" w:lineRule="auto"/>
      </w:pPr>
      <w:r>
        <w:separator/>
      </w:r>
    </w:p>
  </w:endnote>
  <w:endnote w:type="continuationSeparator" w:id="0">
    <w:p w:rsidR="00A005DD" w:rsidRDefault="00A005DD" w:rsidP="0048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5DD" w:rsidRDefault="00A005DD" w:rsidP="00481368">
      <w:pPr>
        <w:spacing w:after="0" w:line="240" w:lineRule="auto"/>
      </w:pPr>
      <w:r>
        <w:separator/>
      </w:r>
    </w:p>
  </w:footnote>
  <w:footnote w:type="continuationSeparator" w:id="0">
    <w:p w:rsidR="00A005DD" w:rsidRDefault="00A005DD" w:rsidP="00481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368" w:rsidRPr="00481368" w:rsidRDefault="00481368">
    <w:pPr>
      <w:pStyle w:val="Kopfzeile"/>
      <w:rPr>
        <w:sz w:val="28"/>
        <w:szCs w:val="28"/>
      </w:rPr>
    </w:pPr>
    <w:r w:rsidRPr="00481368">
      <w:rPr>
        <w:sz w:val="28"/>
        <w:szCs w:val="28"/>
      </w:rPr>
      <w:t>Goe_Geo_AB8_W8_Industrie/Tourismus</w:t>
    </w:r>
    <w:r w:rsidRPr="00481368">
      <w:rPr>
        <w:sz w:val="28"/>
        <w:szCs w:val="28"/>
      </w:rPr>
      <w:tab/>
    </w:r>
    <w:r w:rsidRPr="00481368">
      <w:rPr>
        <w:sz w:val="28"/>
        <w:szCs w:val="28"/>
      </w:rPr>
      <w:tab/>
      <w:t>Abgabe Montag 25.05.2020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7549C"/>
    <w:multiLevelType w:val="hybridMultilevel"/>
    <w:tmpl w:val="37BA43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4E173B"/>
    <w:multiLevelType w:val="hybridMultilevel"/>
    <w:tmpl w:val="B9D22B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7521B6"/>
    <w:multiLevelType w:val="hybridMultilevel"/>
    <w:tmpl w:val="05526C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68"/>
    <w:rsid w:val="00071CE5"/>
    <w:rsid w:val="00084AE1"/>
    <w:rsid w:val="00481368"/>
    <w:rsid w:val="00706B61"/>
    <w:rsid w:val="00715B2E"/>
    <w:rsid w:val="00857B88"/>
    <w:rsid w:val="008770E5"/>
    <w:rsid w:val="00A005DD"/>
    <w:rsid w:val="00B35C26"/>
    <w:rsid w:val="00BE226B"/>
    <w:rsid w:val="00D15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531A"/>
  <w15:chartTrackingRefBased/>
  <w15:docId w15:val="{F230E566-C42C-43FA-87D9-8231A7DF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13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1368"/>
  </w:style>
  <w:style w:type="paragraph" w:styleId="Fuzeile">
    <w:name w:val="footer"/>
    <w:basedOn w:val="Standard"/>
    <w:link w:val="FuzeileZchn"/>
    <w:uiPriority w:val="99"/>
    <w:unhideWhenUsed/>
    <w:rsid w:val="004813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1368"/>
  </w:style>
  <w:style w:type="paragraph" w:styleId="Listenabsatz">
    <w:name w:val="List Paragraph"/>
    <w:basedOn w:val="Standard"/>
    <w:uiPriority w:val="34"/>
    <w:qFormat/>
    <w:rsid w:val="00706B61"/>
    <w:pPr>
      <w:ind w:left="720"/>
      <w:contextualSpacing/>
    </w:pPr>
  </w:style>
  <w:style w:type="character" w:styleId="Fett">
    <w:name w:val="Strong"/>
    <w:basedOn w:val="Absatz-Standardschriftart"/>
    <w:uiPriority w:val="22"/>
    <w:qFormat/>
    <w:rsid w:val="00706B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65533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Goenitzer Ingo</dc:creator>
  <cp:keywords/>
  <dc:description/>
  <cp:lastModifiedBy>Goenitzer Ingo</cp:lastModifiedBy>
  <cp:revision>3</cp:revision>
  <dcterms:created xsi:type="dcterms:W3CDTF">2020-05-15T07:42:00Z</dcterms:created>
  <dcterms:modified xsi:type="dcterms:W3CDTF">2020-05-16T07:51:00Z</dcterms:modified>
</cp:coreProperties>
</file>